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color w:val="9A7B45"/>
          <w:sz w:val="18"/>
        </w:rPr>
        <w:t xml:space="preserve">Gargol · Consultoría Estratégica</w:t>
      </w:r>
    </w:p>
    <w:p>
      <w:pPr>
        <w:spacing w:after="60"/>
      </w:pPr>
      <w:r>
        <w:rPr>
          <w:b/>
          <w:color w:val="1D2140"/>
          <w:sz w:val="40"/>
        </w:rPr>
        <w:t xml:space="preserve">Requisitos para calificar en una SGR</w:t>
      </w:r>
    </w:p>
    <w:p>
      <w:pPr>
        <w:spacing w:after="200"/>
      </w:pPr>
      <w:r>
        <w:rPr>
          <w:b/>
          <w:color w:val="9A7B45"/>
          <w:sz w:val="28"/>
        </w:rPr>
        <w:t xml:space="preserve">Personas humanas</w:t>
      </w:r>
    </w:p>
    <w:p>
      <w:pPr>
        <w:spacing w:after="240"/>
      </w:pPr>
      <w:r>
        <w:rPr>
          <w:color w:val="555555"/>
        </w:rPr>
        <w:t xml:space="preserve">Monotributistas, autónomos, profesionales y productores que operan a título personal.</w:t>
      </w:r>
    </w:p>
    <w:p>
      <w:pPr>
        <w:spacing w:after="240"/>
      </w:pPr>
      <w:r>
        <w:rPr/>
        <w:t xml:space="preserve">Una Sociedad de Garantía Recíproca (SGR) avala a una PyME para que consiga financiamiento en mejores condiciones de tasa y plazo. Antes de avalar, la SGR revisa la documentación que sigue. Cuanto más completa esté la carpeta, más rápido avanza.</w:t>
      </w:r>
    </w:p>
    <w:p>
      <w:pPr>
        <w:spacing w:after="120"/>
      </w:pPr>
      <w:r>
        <w:rPr>
          <w:b/>
          <w:color w:val="1D2140"/>
          <w:sz w:val="26"/>
        </w:rPr>
        <w:t xml:space="preserve">Documentación a presentar</w:t>
      </w:r>
    </w:p>
    <w:p>
      <w:pPr>
        <w:numPr>
          <w:ilvl w:val="0"/>
          <w:numId w:val="1"/>
        </w:numPr>
        <w:spacing w:after="100"/>
      </w:pPr>
      <w:r>
        <w:rPr/>
        <w:t xml:space="preserve">DNI y constancia de CUIT del titular. Si está casado, DNI del cónyuge.</w:t>
      </w:r>
    </w:p>
    <w:p>
      <w:pPr>
        <w:numPr>
          <w:ilvl w:val="0"/>
          <w:numId w:val="1"/>
        </w:numPr>
        <w:spacing w:after="100"/>
      </w:pPr>
      <w:r>
        <w:rPr/>
        <w:t xml:space="preserve">Constancia de inscripción en AFIP (monotributo o autónomos) y en Ingresos Brutos.</w:t>
      </w:r>
    </w:p>
    <w:p>
      <w:pPr>
        <w:numPr>
          <w:ilvl w:val="0"/>
          <w:numId w:val="1"/>
        </w:numPr>
        <w:spacing w:after="100"/>
      </w:pPr>
      <w:r>
        <w:rPr/>
        <w:t xml:space="preserve">Certificado MiPyME vigente.</w:t>
      </w:r>
    </w:p>
    <w:p>
      <w:pPr>
        <w:numPr>
          <w:ilvl w:val="0"/>
          <w:numId w:val="1"/>
        </w:numPr>
        <w:spacing w:after="100"/>
      </w:pPr>
      <w:r>
        <w:rPr/>
        <w:t xml:space="preserve">Últimas dos declaraciones juradas de Ganancias y Bienes Personales, con acuse de presentación y comprobante de pago.</w:t>
      </w:r>
    </w:p>
    <w:p>
      <w:pPr>
        <w:numPr>
          <w:ilvl w:val="0"/>
          <w:numId w:val="1"/>
        </w:numPr>
        <w:spacing w:after="100"/>
      </w:pPr>
      <w:r>
        <w:rPr/>
        <w:t xml:space="preserve">Si no está inscripto en Ganancias, certificación de ingresos de los últimos doce meses firmada por contador.</w:t>
      </w:r>
    </w:p>
    <w:p>
      <w:pPr>
        <w:numPr>
          <w:ilvl w:val="0"/>
          <w:numId w:val="1"/>
        </w:numPr>
        <w:spacing w:after="100"/>
      </w:pPr>
      <w:r>
        <w:rPr/>
        <w:t xml:space="preserve">Ventas de los últimos doce meses: declaraciones juradas de IVA o facturación mensual certificada por contador.</w:t>
      </w:r>
    </w:p>
    <w:p>
      <w:pPr>
        <w:numPr>
          <w:ilvl w:val="0"/>
          <w:numId w:val="1"/>
        </w:numPr>
        <w:spacing w:after="100"/>
      </w:pPr>
      <w:r>
        <w:rPr/>
        <w:t xml:space="preserve">Manifestación de bienes actualizada, certificada por contador y legalizada por el Consejo Profesional.</w:t>
      </w:r>
    </w:p>
    <w:p>
      <w:pPr>
        <w:numPr>
          <w:ilvl w:val="0"/>
          <w:numId w:val="1"/>
        </w:numPr>
        <w:spacing w:after="100"/>
      </w:pPr>
      <w:r>
        <w:rPr/>
        <w:t xml:space="preserve">Detalle de deudas bancarias y financieras vigentes: entidad, saldo, cuota y vencimiento.</w:t>
      </w:r>
    </w:p>
    <w:p>
      <w:pPr>
        <w:numPr>
          <w:ilvl w:val="0"/>
          <w:numId w:val="1"/>
        </w:numPr>
        <w:spacing w:after="100"/>
      </w:pPr>
      <w:r>
        <w:rPr/>
        <w:t xml:space="preserve">Títulos de propiedad de los inmuebles y automotores declarados.</w:t>
      </w:r>
    </w:p>
    <w:p>
      <w:pPr>
        <w:numPr>
          <w:ilvl w:val="0"/>
          <w:numId w:val="1"/>
        </w:numPr>
        <w:spacing w:after="100"/>
      </w:pPr>
      <w:r>
        <w:rPr/>
        <w:t xml:space="preserve">Para productores agropecuarios: contratos de arrendamiento, plan de siembra y liquidaciones de venta del último ciclo.</w:t>
      </w:r>
    </w:p>
    <w:p>
      <w:pPr>
        <w:numPr>
          <w:ilvl w:val="0"/>
          <w:numId w:val="1"/>
        </w:numPr>
        <w:spacing w:after="100"/>
      </w:pPr>
      <w:r>
        <w:rPr/>
        <w:t xml:space="preserve">Destino de los fondos y monto a solicitar.</w:t>
      </w:r>
    </w:p>
    <w:p>
      <w:pPr>
        <w:spacing w:after="120"/>
      </w:pPr>
      <w:r>
        <w:rPr>
          <w:b/>
          <w:color w:val="1D2140"/>
          <w:sz w:val="26"/>
        </w:rPr>
        <w:t xml:space="preserve">Cómo enviarla</w:t>
      </w:r>
    </w:p>
    <w:p>
      <w:pPr>
        <w:spacing w:after="240"/>
      </w:pPr>
      <w:r>
        <w:rPr/>
        <w:t xml:space="preserve">Mandá la documentación, escaneada o en PDF, a financiamiento@gargol.com.ar. La revisamos, te decimos si falta algo y la presentamos a la SGR que mejor se ajuste a la operación. Antes de armar la carpeta conviene consultar la Central de Deudores del BCRA: si el CUIT figura en situación 3, 4 o 5, o tiene cheques rechazados sin levantar, la operación no avanza.</w:t>
      </w:r>
    </w:p>
    <w:p>
      <w:pPr>
        <w:spacing w:after="0"/>
      </w:pPr>
      <w:r>
        <w:rPr>
          <w:color w:val="555555"/>
          <w:sz w:val="18"/>
        </w:rPr>
        <w:t xml:space="preserve">Lista orientativa. Cada SGR puede pedir documentación adicional según la operación y el monto.</w:t>
      </w:r>
    </w:p>
    <w:sectPr>
      <w:pgSz w:w="11906" w:h="16838"/>
      <w:pgMar w:top="1418" w:right="1418" w:bottom="1418" w:left="141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  <w:rPr>
        <w:color w:val="9A7B45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A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