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color w:val="9A7B45"/>
          <w:sz w:val="18"/>
        </w:rPr>
        <w:t xml:space="preserve">Gargol · Consultoría Estratégica</w:t>
      </w:r>
    </w:p>
    <w:p>
      <w:pPr>
        <w:spacing w:after="60"/>
      </w:pPr>
      <w:r>
        <w:rPr>
          <w:b/>
          <w:color w:val="1D2140"/>
          <w:sz w:val="40"/>
        </w:rPr>
        <w:t xml:space="preserve">Requisitos para calificar en una SGR</w:t>
      </w:r>
    </w:p>
    <w:p>
      <w:pPr>
        <w:spacing w:after="200"/>
      </w:pPr>
      <w:r>
        <w:rPr>
          <w:b/>
          <w:color w:val="9A7B45"/>
          <w:sz w:val="28"/>
        </w:rPr>
        <w:t xml:space="preserve">Personas jurídicas</w:t>
      </w:r>
    </w:p>
    <w:p>
      <w:pPr>
        <w:spacing w:after="240"/>
      </w:pPr>
      <w:r>
        <w:rPr>
          <w:color w:val="555555"/>
        </w:rPr>
        <w:t xml:space="preserve">Sociedades anónimas, SRL, SAS y cooperativas.</w:t>
      </w:r>
    </w:p>
    <w:p>
      <w:pPr>
        <w:spacing w:after="240"/>
      </w:pPr>
      <w:r>
        <w:rPr/>
        <w:t xml:space="preserve">Una Sociedad de Garantía Recíproca (SGR) avala a una PyME para que consiga financiamiento en mejores condiciones de tasa y plazo. Antes de avalar, la SGR revisa la documentación que sigue. Cuanto más completa esté la carpeta, más rápido avanza.</w:t>
      </w:r>
    </w:p>
    <w:p>
      <w:pPr>
        <w:spacing w:after="120"/>
      </w:pPr>
      <w:r>
        <w:rPr>
          <w:b/>
          <w:color w:val="1D2140"/>
          <w:sz w:val="26"/>
        </w:rPr>
        <w:t xml:space="preserve">Documentación a presentar</w:t>
      </w:r>
    </w:p>
    <w:p>
      <w:pPr>
        <w:numPr>
          <w:ilvl w:val="0"/>
          <w:numId w:val="1"/>
        </w:numPr>
        <w:spacing w:after="100"/>
      </w:pPr>
      <w:r>
        <w:rPr/>
        <w:t xml:space="preserve">Estatuto o contrato social con sus modificaciones y la constancia de inscripción en el Registro Público.</w:t>
      </w:r>
    </w:p>
    <w:p>
      <w:pPr>
        <w:numPr>
          <w:ilvl w:val="0"/>
          <w:numId w:val="1"/>
        </w:numPr>
        <w:spacing w:after="100"/>
      </w:pPr>
      <w:r>
        <w:rPr/>
        <w:t xml:space="preserve">Acta de designación de autoridades vigente y distribución de cargos.</w:t>
      </w:r>
    </w:p>
    <w:p>
      <w:pPr>
        <w:numPr>
          <w:ilvl w:val="0"/>
          <w:numId w:val="1"/>
        </w:numPr>
        <w:spacing w:after="100"/>
      </w:pPr>
      <w:r>
        <w:rPr/>
        <w:t xml:space="preserve">Constancia de inscripción en AFIP e Ingresos Brutos.</w:t>
      </w:r>
    </w:p>
    <w:p>
      <w:pPr>
        <w:numPr>
          <w:ilvl w:val="0"/>
          <w:numId w:val="1"/>
        </w:numPr>
        <w:spacing w:after="100"/>
      </w:pPr>
      <w:r>
        <w:rPr/>
        <w:t xml:space="preserve">Certificado MiPyME vigente.</w:t>
      </w:r>
    </w:p>
    <w:p>
      <w:pPr>
        <w:numPr>
          <w:ilvl w:val="0"/>
          <w:numId w:val="1"/>
        </w:numPr>
        <w:spacing w:after="100"/>
      </w:pPr>
      <w:r>
        <w:rPr/>
        <w:t xml:space="preserve">Últimos dos estados contables cerrados, certificados por contador y legalizados por el Consejo Profesional.</w:t>
      </w:r>
    </w:p>
    <w:p>
      <w:pPr>
        <w:numPr>
          <w:ilvl w:val="0"/>
          <w:numId w:val="1"/>
        </w:numPr>
        <w:spacing w:after="100"/>
      </w:pPr>
      <w:r>
        <w:rPr/>
        <w:t xml:space="preserve">Ventas mensuales posteriores al último balance, certificadas por contador o con las declaraciones juradas de IVA.</w:t>
      </w:r>
    </w:p>
    <w:p>
      <w:pPr>
        <w:numPr>
          <w:ilvl w:val="0"/>
          <w:numId w:val="1"/>
        </w:numPr>
        <w:spacing w:after="100"/>
      </w:pPr>
      <w:r>
        <w:rPr/>
        <w:t xml:space="preserve">Último formulario 931 con la nómina de empleados.</w:t>
      </w:r>
    </w:p>
    <w:p>
      <w:pPr>
        <w:numPr>
          <w:ilvl w:val="0"/>
          <w:numId w:val="1"/>
        </w:numPr>
        <w:spacing w:after="100"/>
      </w:pPr>
      <w:r>
        <w:rPr/>
        <w:t xml:space="preserve">Detalle de deudas bancarias y financieras vigentes: entidad, saldo, cuota y vencimiento.</w:t>
      </w:r>
    </w:p>
    <w:p>
      <w:pPr>
        <w:numPr>
          <w:ilvl w:val="0"/>
          <w:numId w:val="1"/>
        </w:numPr>
        <w:spacing w:after="100"/>
      </w:pPr>
      <w:r>
        <w:rPr/>
        <w:t xml:space="preserve">DNI y constancia de CUIT de socios, directores y fiadores.</w:t>
      </w:r>
    </w:p>
    <w:p>
      <w:pPr>
        <w:numPr>
          <w:ilvl w:val="0"/>
          <w:numId w:val="1"/>
        </w:numPr>
        <w:spacing w:after="100"/>
      </w:pPr>
      <w:r>
        <w:rPr/>
        <w:t xml:space="preserve">Manifestación de bienes de los socios o fiadores, certificada por contador y legalizada.</w:t>
      </w:r>
    </w:p>
    <w:p>
      <w:pPr>
        <w:numPr>
          <w:ilvl w:val="0"/>
          <w:numId w:val="1"/>
        </w:numPr>
        <w:spacing w:after="100"/>
      </w:pPr>
      <w:r>
        <w:rPr/>
        <w:t xml:space="preserve">Últimas declaraciones juradas de Ganancias y Bienes Personales de los fiadores.</w:t>
      </w:r>
    </w:p>
    <w:p>
      <w:pPr>
        <w:numPr>
          <w:ilvl w:val="0"/>
          <w:numId w:val="1"/>
        </w:numPr>
        <w:spacing w:after="100"/>
      </w:pPr>
      <w:r>
        <w:rPr/>
        <w:t xml:space="preserve">Destino de los fondos, monto a solicitar y, para operaciones de largo plazo, flujo de fondos proyectado.</w:t>
      </w:r>
    </w:p>
    <w:p>
      <w:pPr>
        <w:spacing w:after="120"/>
      </w:pPr>
      <w:r>
        <w:rPr>
          <w:b/>
          <w:color w:val="1D2140"/>
          <w:sz w:val="26"/>
        </w:rPr>
        <w:t xml:space="preserve">Cómo enviarla</w:t>
      </w:r>
    </w:p>
    <w:p>
      <w:pPr>
        <w:spacing w:after="240"/>
      </w:pPr>
      <w:r>
        <w:rPr/>
        <w:t xml:space="preserve">Mandá la documentación, escaneada o en PDF, a financiamiento@gargol.com.ar. La revisamos, te decimos si falta algo y la presentamos a la SGR que mejor se ajuste a la operación. Antes de armar la carpeta conviene consultar la Central de Deudores del BCRA: si el CUIT figura en situación 3, 4 o 5, o tiene cheques rechazados sin levantar, la operación no avanza.</w:t>
      </w:r>
    </w:p>
    <w:p>
      <w:pPr>
        <w:spacing w:after="0"/>
      </w:pPr>
      <w:r>
        <w:rPr>
          <w:color w:val="555555"/>
          <w:sz w:val="18"/>
        </w:rPr>
        <w:t xml:space="preserve">Lista orientativa. Cada SGR puede pedir documentación adicional según la operación y el monto.</w:t>
      </w:r>
    </w:p>
    <w:sectPr>
      <w:pgSz w:w="11906" w:h="16838"/>
      <w:pgMar w:top="1418" w:right="1418" w:bottom="1418" w:left="141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  <w:rPr>
        <w:color w:val="9A7B45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s-A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